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73" w:after="0"/>
        <w:ind w:left="13223" w:right="147" w:firstLine="1476"/>
        <w:jc w:val="right"/>
        <w:rPr/>
      </w:pPr>
      <w:r>
        <w:rPr/>
        <w:t>Приложение № 14</w:t>
      </w:r>
      <w:r>
        <w:rPr>
          <w:spacing w:val="-48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паспорту</w:t>
      </w:r>
      <w:r>
        <w:rPr>
          <w:spacing w:val="-9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</w:p>
    <w:p>
      <w:pPr>
        <w:pStyle w:val="Style15"/>
        <w:spacing w:before="1" w:after="0"/>
        <w:ind w:right="150" w:hanging="0"/>
        <w:jc w:val="right"/>
        <w:rPr/>
      </w:pPr>
      <w:r>
        <w:rPr/>
        <w:t>(городского</w:t>
      </w:r>
      <w:r>
        <w:rPr>
          <w:spacing w:val="-12"/>
        </w:rPr>
        <w:t xml:space="preserve"> </w:t>
      </w:r>
      <w:r>
        <w:rPr/>
        <w:t>округа)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2390" w:right="1974" w:hanging="0"/>
        <w:jc w:val="center"/>
        <w:rPr/>
      </w:pPr>
      <w:r>
        <w:rPr/>
        <w:t>ПОКАЗАТЕЛИ</w:t>
      </w:r>
      <w:r>
        <w:rPr>
          <w:spacing w:val="-6"/>
        </w:rPr>
        <w:t xml:space="preserve"> </w:t>
      </w:r>
      <w:r>
        <w:rPr/>
        <w:t>СОЦИАЛЬНО-ЭКОНОМИЧЕСКОГО</w:t>
      </w:r>
      <w:r>
        <w:rPr>
          <w:spacing w:val="-3"/>
        </w:rPr>
        <w:t xml:space="preserve"> </w:t>
      </w:r>
      <w:r>
        <w:rPr/>
        <w:t>РАЗВИТИЯ</w:t>
      </w:r>
      <w:r>
        <w:rPr>
          <w:spacing w:val="-6"/>
        </w:rPr>
        <w:t xml:space="preserve"> </w:t>
      </w:r>
      <w:r>
        <w:rPr/>
        <w:t>КРАСНОСЕЛЬСКОГО</w:t>
      </w:r>
      <w:r>
        <w:rPr>
          <w:spacing w:val="-5"/>
        </w:rPr>
        <w:t xml:space="preserve"> </w:t>
      </w:r>
      <w:r>
        <w:rPr/>
        <w:t>МУНИЦИПАЛЬНОГО</w:t>
      </w:r>
      <w:r>
        <w:rPr>
          <w:spacing w:val="-5"/>
        </w:rPr>
        <w:t xml:space="preserve"> </w:t>
      </w:r>
      <w:r>
        <w:rPr/>
        <w:t>РАЙОНА</w:t>
      </w:r>
      <w:r>
        <w:rPr>
          <w:spacing w:val="3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2025</w:t>
      </w:r>
      <w:r>
        <w:rPr>
          <w:spacing w:val="-4"/>
        </w:rPr>
        <w:t xml:space="preserve"> </w:t>
      </w:r>
      <w:r>
        <w:rPr/>
        <w:t>ГОДУ*</w:t>
      </w:r>
    </w:p>
    <w:p>
      <w:pPr>
        <w:pStyle w:val="Style15"/>
        <w:spacing w:before="5" w:after="1"/>
        <w:rPr>
          <w:sz w:val="16"/>
        </w:rPr>
      </w:pPr>
      <w:r>
        <w:rPr>
          <w:sz w:val="16"/>
        </w:rPr>
      </w:r>
    </w:p>
    <w:p>
      <w:pPr>
        <w:sectPr>
          <w:type w:val="nextPage"/>
          <w:pgSz w:orient="landscape" w:w="16838" w:h="11906"/>
          <w:pgMar w:left="0" w:right="420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95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3"/>
        <w:gridCol w:w="1179"/>
        <w:gridCol w:w="995"/>
        <w:gridCol w:w="1185"/>
        <w:gridCol w:w="912"/>
        <w:gridCol w:w="964"/>
        <w:gridCol w:w="872"/>
        <w:gridCol w:w="918"/>
        <w:gridCol w:w="879"/>
        <w:gridCol w:w="987"/>
        <w:gridCol w:w="974"/>
        <w:gridCol w:w="980"/>
        <w:gridCol w:w="853"/>
        <w:gridCol w:w="1202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1639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898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Промышленное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лесозаготовительная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собственными силами (без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НДС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акцизов)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разделам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В, C, D, 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6161,1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12581,25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18835,0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23808,5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  <w:t>28819,5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33643,6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38656,2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43675,6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48514,1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54169,3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59853,6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66197,6</w:t>
            </w:r>
          </w:p>
        </w:tc>
      </w:tr>
      <w:tr>
        <w:trPr>
          <w:trHeight w:val="1819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166,9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170,0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144,7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135,5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128,0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131,2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130,5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121,1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119,7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119,4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Добыча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полезных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ископаемых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(торф,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глина,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0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песок,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известняк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др.)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127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5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6" w:after="0"/>
              <w:ind w:left="107" w:right="4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С: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Обрабатывающая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промышленность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6139,5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sz w:val="20"/>
              </w:rPr>
              <w:t>12535,2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18771,0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23760,8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  <w:t>28764,8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33585,1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38593,8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43608,6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48442,1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54151,3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59757,6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66087,5</w:t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170,3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165,9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144,8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135,5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128,1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131,2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130,6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121,3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119,7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119,5</w:t>
            </w:r>
          </w:p>
        </w:tc>
      </w:tr>
      <w:tr>
        <w:trPr>
          <w:trHeight w:val="436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деятельности: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3.1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пищевых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продуктов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16,082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sz w:val="20"/>
              </w:rPr>
              <w:t>30,36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47,384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67,432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88,690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109,7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  <w:t>128,3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  <w:t>144,8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  <w:t>157,7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171,0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  <w:t>184,1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198,0</w:t>
            </w:r>
          </w:p>
        </w:tc>
      </w:tr>
      <w:tr>
        <w:trPr>
          <w:trHeight w:val="984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left"/>
              <w:rPr>
                <w:sz w:val="20"/>
              </w:rPr>
            </w:pPr>
            <w:r>
              <w:rPr>
                <w:sz w:val="20"/>
              </w:rPr>
              <w:t>147,3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153,3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151,5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145,6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143,3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139,1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133,4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  <w:t>131,2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124,5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  <w:t>120,8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117,7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3.2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1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32: Производство прочих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готовых изделий всего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6123,42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right"/>
              <w:rPr>
                <w:sz w:val="20"/>
              </w:rPr>
            </w:pPr>
            <w:r>
              <w:rPr>
                <w:sz w:val="20"/>
              </w:rPr>
              <w:t>12504,9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18723,6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23693,4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  <w:t>28676,1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33475,4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38465,5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43608,6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48284,4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53980,4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59573,5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65889,5</w:t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170,4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165,9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144,8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135,5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128,0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131,2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131,0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125,1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121,3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119,7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119,5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D: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Электроэнергия,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газ,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19,129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right"/>
              <w:rPr>
                <w:sz w:val="20"/>
              </w:rPr>
            </w:pPr>
            <w:r>
              <w:rPr>
                <w:sz w:val="20"/>
              </w:rPr>
              <w:t>41,77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right"/>
              <w:rPr>
                <w:sz w:val="20"/>
              </w:rPr>
            </w:pPr>
            <w:r>
              <w:rPr>
                <w:sz w:val="20"/>
              </w:rPr>
              <w:t>58,421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40,453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46,041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47,8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  <w:t>52,1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left"/>
              <w:rPr>
                <w:sz w:val="20"/>
              </w:rPr>
            </w:pPr>
            <w:r>
              <w:rPr>
                <w:sz w:val="20"/>
              </w:rPr>
              <w:t>55,5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65,96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left"/>
              <w:rPr>
                <w:sz w:val="20"/>
              </w:rPr>
            </w:pPr>
            <w:r>
              <w:rPr>
                <w:sz w:val="20"/>
              </w:rPr>
              <w:t>76,5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  <w:t>89,6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2"/>
        <w:gridCol w:w="1136"/>
        <w:gridCol w:w="1015"/>
        <w:gridCol w:w="956"/>
        <w:gridCol w:w="945"/>
        <w:gridCol w:w="896"/>
        <w:gridCol w:w="901"/>
        <w:gridCol w:w="919"/>
        <w:gridCol w:w="948"/>
        <w:gridCol w:w="974"/>
        <w:gridCol w:w="919"/>
        <w:gridCol w:w="917"/>
        <w:gridCol w:w="1117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8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пар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кондиционирование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воздуха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73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112,3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116,2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  <w:t>109,6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102,1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102,7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103,9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108,2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110,6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  <w:t>135,3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 Е: Водоснабжение;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водоотведение, услуги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удалению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рекультивации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отходов</w:t>
            </w:r>
            <w:r>
              <w:rPr>
                <w:spacing w:val="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4,25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50" w:hanging="0"/>
              <w:jc w:val="left"/>
              <w:rPr>
                <w:sz w:val="20"/>
              </w:rPr>
            </w:pPr>
            <w:r>
              <w:rPr>
                <w:sz w:val="20"/>
              </w:rPr>
              <w:t>5,641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7,246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8,685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12,66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14,8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16,5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  <w:t>19,6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</w:tr>
      <w:tr>
        <w:trPr>
          <w:trHeight w:val="1353" w:hRule="atLeast"/>
        </w:trPr>
        <w:tc>
          <w:tcPr>
            <w:tcW w:w="561" w:type="dxa"/>
            <w:vMerge w:val="continue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8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122,4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left"/>
              <w:rPr>
                <w:sz w:val="20"/>
              </w:rPr>
            </w:pPr>
            <w:r>
              <w:rPr>
                <w:sz w:val="20"/>
              </w:rPr>
              <w:t>159,1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91,9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104,4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103,5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140,6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86,9</w:t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left"/>
              <w:rPr>
                <w:sz w:val="20"/>
              </w:rPr>
            </w:pPr>
            <w:r>
              <w:rPr>
                <w:sz w:val="20"/>
              </w:rPr>
              <w:t>88,6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85,4</w:t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6.</w:t>
            </w:r>
          </w:p>
        </w:tc>
        <w:tc>
          <w:tcPr>
            <w:tcW w:w="29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3" w:after="0"/>
              <w:ind w:left="107" w:right="424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 работ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услуг собственными силами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07" w:right="290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 «Лесоводство и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лесозаготовки»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506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3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Отдельные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сельскохозяйственных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организаций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7" w:right="26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Произведено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скота и птицы на убой (в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живом весе),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74,56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90,66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  <w:t>114,7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  <w:t>133,19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165,59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208,89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229,27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  <w:t>258,4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306,64</w:t>
            </w:r>
          </w:p>
        </w:tc>
      </w:tr>
      <w:tr>
        <w:trPr>
          <w:trHeight w:val="103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78,1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lef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93,2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97,7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93,2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88,2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молока,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841,58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1610,2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2434,3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3271,7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11" w:hanging="0"/>
              <w:jc w:val="center"/>
              <w:rPr>
                <w:sz w:val="20"/>
              </w:rPr>
            </w:pPr>
            <w:r>
              <w:rPr>
                <w:sz w:val="20"/>
              </w:rPr>
              <w:t>4158,4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  <w:t>5026,6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5885,8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6731,9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7544,4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8361,1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9142,6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9983,1</w:t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91,8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92,3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93,1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82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Надоено молока в расчете 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одну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корову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молочного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стада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2692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3251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3810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4371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4896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5439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5944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6491</w:t>
            </w:r>
          </w:p>
        </w:tc>
      </w:tr>
      <w:tr>
        <w:trPr>
          <w:trHeight w:val="87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7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95,5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97,3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</w:tr>
      <w:tr>
        <w:trPr>
          <w:trHeight w:val="226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0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куриных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яиц,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3" w:hanging="0"/>
              <w:jc w:val="center"/>
              <w:rPr>
                <w:sz w:val="20"/>
                <w:szCs w:val="20"/>
              </w:rPr>
            </w:pPr>
            <w:r>
              <w:rPr>
                <w:w w:val="99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8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2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  <w:szCs w:val="20"/>
              </w:rPr>
            </w:pPr>
            <w:r>
              <w:rPr>
                <w:w w:val="99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крупного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рогатого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скота,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голов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3179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3215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3198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3264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3305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3273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3230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45" w:hanging="0"/>
              <w:jc w:val="center"/>
              <w:rPr>
                <w:sz w:val="20"/>
              </w:rPr>
            </w:pPr>
            <w:r>
              <w:rPr>
                <w:sz w:val="20"/>
              </w:rPr>
              <w:t>3258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3187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коров,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left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  <w:t>1608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1622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  <w:t>1624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5" w:hanging="0"/>
              <w:jc w:val="left"/>
              <w:rPr>
                <w:sz w:val="20"/>
              </w:rPr>
            </w:pPr>
            <w:r>
              <w:rPr>
                <w:sz w:val="20"/>
              </w:rPr>
              <w:t>1634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1640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5"/>
        <w:gridCol w:w="1134"/>
        <w:gridCol w:w="999"/>
        <w:gridCol w:w="955"/>
        <w:gridCol w:w="961"/>
        <w:gridCol w:w="914"/>
        <w:gridCol w:w="961"/>
        <w:gridCol w:w="844"/>
        <w:gridCol w:w="950"/>
        <w:gridCol w:w="974"/>
        <w:gridCol w:w="917"/>
        <w:gridCol w:w="919"/>
        <w:gridCol w:w="1112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251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0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0" w:right="12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2" w:right="13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свиней,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овец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коз,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Поголовье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птицы,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681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3.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Трудовые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ресурсы,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занятость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населения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2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Численность работников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относящихся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 малого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62" w:hanging="0"/>
              <w:jc w:val="left"/>
              <w:rPr>
                <w:sz w:val="20"/>
              </w:rPr>
            </w:pPr>
            <w:r>
              <w:rPr>
                <w:sz w:val="20"/>
              </w:rPr>
              <w:t>4402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  <w:t>4391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4376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left"/>
              <w:rPr>
                <w:sz w:val="20"/>
              </w:rPr>
            </w:pPr>
            <w:r>
              <w:rPr>
                <w:sz w:val="20"/>
              </w:rPr>
              <w:t>4350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4320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4304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4294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1" w:hanging="0"/>
              <w:jc w:val="left"/>
              <w:rPr>
                <w:sz w:val="20"/>
              </w:rPr>
            </w:pPr>
            <w:r>
              <w:rPr>
                <w:sz w:val="20"/>
              </w:rPr>
              <w:t>4278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2" w:hanging="0"/>
              <w:jc w:val="left"/>
              <w:rPr>
                <w:sz w:val="20"/>
              </w:rPr>
            </w:pPr>
            <w:r>
              <w:rPr>
                <w:sz w:val="20"/>
              </w:rPr>
              <w:t>4257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4235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1" w:hanging="0"/>
              <w:jc w:val="left"/>
              <w:rPr>
                <w:sz w:val="20"/>
              </w:rPr>
            </w:pPr>
            <w:r>
              <w:rPr>
                <w:sz w:val="20"/>
              </w:rPr>
              <w:t>4218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4205</w:t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107,7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107,3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106,6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105,8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105,3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104,0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103,4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3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Среднемесячная заработная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 относящихся к 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8" w:hanging="0"/>
              <w:jc w:val="left"/>
              <w:rPr>
                <w:sz w:val="20"/>
              </w:rPr>
            </w:pPr>
            <w:r>
              <w:rPr>
                <w:sz w:val="20"/>
              </w:rPr>
              <w:t>67,863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74,177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74,518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0" w:hanging="0"/>
              <w:jc w:val="left"/>
              <w:rPr>
                <w:sz w:val="20"/>
              </w:rPr>
            </w:pPr>
            <w:r>
              <w:rPr>
                <w:sz w:val="20"/>
              </w:rPr>
              <w:t>75,848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4" w:hanging="0"/>
              <w:jc w:val="center"/>
              <w:rPr>
                <w:sz w:val="20"/>
              </w:rPr>
            </w:pPr>
            <w:r>
              <w:rPr>
                <w:sz w:val="20"/>
              </w:rPr>
              <w:t>74,763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  <w:t>76,110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76,437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  <w:t>75,825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  <w:t>75,708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76,452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  <w:t>76,577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77414,3</w:t>
            </w:r>
          </w:p>
        </w:tc>
      </w:tr>
      <w:tr>
        <w:trPr>
          <w:trHeight w:val="98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108,7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104,9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104,3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101,3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101,7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101,8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100,3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98,9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101,2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98,6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</w:tr>
      <w:tr>
        <w:trPr>
          <w:trHeight w:val="805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9" w:after="0"/>
              <w:ind w:left="107" w:right="524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Численность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>безработных,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органах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службы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654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9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Уровень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официально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безработицы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0,19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left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  <w:t>0,18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sz w:val="20"/>
              </w:rPr>
              <w:t>0,11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0,17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26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4.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Потребительский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рынок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Оборот розничной торговли 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3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33" w:hanging="0"/>
              <w:jc w:val="center"/>
              <w:rPr>
                <w:sz w:val="20"/>
              </w:rPr>
            </w:pPr>
            <w:r>
              <w:rPr>
                <w:sz w:val="20"/>
              </w:rPr>
              <w:t>251,398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557,66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861,341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1033,6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8" w:hanging="0"/>
              <w:jc w:val="left"/>
              <w:rPr>
                <w:sz w:val="20"/>
              </w:rPr>
            </w:pPr>
            <w:r>
              <w:rPr>
                <w:sz w:val="20"/>
              </w:rPr>
              <w:t>1302,3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1676,1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2061,6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  <w:t>2597,7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  <w:t>2961,3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3316,7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sz w:val="20"/>
              </w:rPr>
              <w:t>4046,35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4955,5</w:t>
            </w:r>
          </w:p>
        </w:tc>
      </w:tr>
      <w:tr>
        <w:trPr>
          <w:trHeight w:val="78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04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5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126,0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125,4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119,6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125,7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132,6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137,9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140,1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140,4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126,0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122,2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121,9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населению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 субъектов,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18,064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26,665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32,251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7" w:hanging="0"/>
              <w:jc w:val="left"/>
              <w:rPr>
                <w:sz w:val="20"/>
              </w:rPr>
            </w:pPr>
            <w:r>
              <w:rPr>
                <w:sz w:val="20"/>
              </w:rPr>
              <w:t>43,121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49,9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5" w:hanging="0"/>
              <w:jc w:val="left"/>
              <w:rPr>
                <w:sz w:val="20"/>
              </w:rPr>
            </w:pPr>
            <w:r>
              <w:rPr>
                <w:sz w:val="20"/>
              </w:rPr>
              <w:t>64,5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6" w:hanging="0"/>
              <w:jc w:val="left"/>
              <w:rPr>
                <w:sz w:val="20"/>
              </w:rPr>
            </w:pPr>
            <w:r>
              <w:rPr>
                <w:sz w:val="20"/>
              </w:rPr>
              <w:t>70,7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76,99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7" w:hanging="0"/>
              <w:jc w:val="left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96,2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114,2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109,2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107,9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108,2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109,0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104,6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left"/>
              <w:rPr>
                <w:sz w:val="20"/>
              </w:rPr>
            </w:pPr>
            <w:r>
              <w:rPr>
                <w:sz w:val="20"/>
              </w:rPr>
              <w:t>116,7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105,5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left"/>
              <w:rPr>
                <w:sz w:val="20"/>
              </w:rPr>
            </w:pPr>
            <w:r>
              <w:rPr>
                <w:sz w:val="20"/>
              </w:rPr>
              <w:t>102,7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782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5.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Строительство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инвестиционная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54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8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выполненных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«строительство»,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организациям,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относящимся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предпринимательства, средняя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численность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которых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превышает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человек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действующих ценах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0,049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0,081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0,154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0,806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0,837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0,846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0,953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  <w:t>0,984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  <w:t>1,031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1,961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1,968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19,017</w:t>
            </w:r>
          </w:p>
        </w:tc>
      </w:tr>
      <w:tr>
        <w:trPr>
          <w:trHeight w:val="1828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104,3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20,1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168,6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  <w:t>68,8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right"/>
              <w:rPr>
                <w:sz w:val="20"/>
              </w:rPr>
            </w:pPr>
            <w:r>
              <w:rPr>
                <w:sz w:val="20"/>
              </w:rPr>
              <w:t>31,3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right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368,0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44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0"/>
        <w:gridCol w:w="2935"/>
        <w:gridCol w:w="1182"/>
        <w:gridCol w:w="1136"/>
        <w:gridCol w:w="996"/>
        <w:gridCol w:w="1021"/>
        <w:gridCol w:w="840"/>
        <w:gridCol w:w="955"/>
        <w:gridCol w:w="978"/>
        <w:gridCol w:w="901"/>
        <w:gridCol w:w="888"/>
        <w:gridCol w:w="975"/>
        <w:gridCol w:w="919"/>
        <w:gridCol w:w="1014"/>
        <w:gridCol w:w="1140"/>
      </w:tblGrid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right="117" w:hanging="0"/>
              <w:jc w:val="righ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7" w:right="11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691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Ввод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жилых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домов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источников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кв.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4,242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9,708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14,225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  <w:t>16,609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17,922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19,382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22,453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  <w:t>25,071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  <w:t>25,071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25,552</w:t>
            </w:r>
          </w:p>
        </w:tc>
      </w:tr>
      <w:tr>
        <w:trPr>
          <w:trHeight w:val="230" w:hRule="atLeast"/>
        </w:trPr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right="1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источников финансирования –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429,923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685,210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857,997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1194297</w:t>
            </w:r>
          </w:p>
        </w:tc>
      </w:tr>
      <w:tr>
        <w:trPr>
          <w:trHeight w:val="918" w:hRule="atLeast"/>
        </w:trPr>
        <w:tc>
          <w:tcPr>
            <w:tcW w:w="56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48,4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</w:tr>
      <w:tr>
        <w:trPr>
          <w:trHeight w:val="689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источникам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401,447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599,822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  <w:t>671,018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805510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Привлеченные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28,476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85,388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186,979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388787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27,679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83,508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184,589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381346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федерального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16,953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43,391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  <w:t>44,691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76899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областного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0,173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8,030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92,740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210987</w:t>
            </w:r>
          </w:p>
        </w:tc>
      </w:tr>
      <w:tr>
        <w:trPr>
          <w:trHeight w:val="229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10,553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  <w:t>32,087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47,158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93460</w:t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внебюджетных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фондов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3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0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72" w:right="14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прочие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0,797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  <w:t>1,880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  <w:t>2,390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7441</w:t>
            </w:r>
          </w:p>
        </w:tc>
      </w:tr>
      <w:tr>
        <w:trPr>
          <w:trHeight w:val="230" w:hRule="atLeast"/>
        </w:trPr>
        <w:tc>
          <w:tcPr>
            <w:tcW w:w="164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35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6.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Основные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консолидированного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бюджета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муниципального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района,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городского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округа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34,908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209,208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370,271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451,582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  <w:t>636,719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930,017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1044,55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8" w:hanging="0"/>
              <w:jc w:val="right"/>
              <w:rPr>
                <w:sz w:val="20"/>
              </w:rPr>
            </w:pPr>
            <w:r>
              <w:rPr>
                <w:sz w:val="20"/>
              </w:rPr>
              <w:t>1193,834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1347,346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1500,277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1660,0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63,644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103,583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195,125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226,263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  <w:t>251,931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337,264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350,433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  <w:t>380,882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449,571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492,059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542,5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12,235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53,918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82,832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117,941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140,418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  <w:t>159,501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204,684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228,776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251,296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287,946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316,915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355,95</w:t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2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совокупный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3,056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2,661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10,060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61,114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67,422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  <w:t>70,427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86,488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87,733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9" w:hanging="0"/>
              <w:jc w:val="left"/>
              <w:rPr>
                <w:sz w:val="20"/>
              </w:rPr>
            </w:pPr>
            <w:r>
              <w:rPr>
                <w:sz w:val="20"/>
              </w:rPr>
              <w:t>88,031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  <w:t>105,633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hanging="0"/>
              <w:jc w:val="left"/>
              <w:rPr>
                <w:sz w:val="20"/>
              </w:rPr>
            </w:pPr>
            <w:r>
              <w:rPr>
                <w:sz w:val="20"/>
              </w:rPr>
              <w:t>108,060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110,03</w:t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0,554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0,706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0,388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0,453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  <w:t>0,558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0,588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46" w:hanging="0"/>
              <w:jc w:val="right"/>
              <w:rPr>
                <w:sz w:val="20"/>
              </w:rPr>
            </w:pPr>
            <w:r>
              <w:rPr>
                <w:sz w:val="20"/>
              </w:rPr>
              <w:t>2,874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60" w:hanging="0"/>
              <w:jc w:val="right"/>
              <w:rPr>
                <w:sz w:val="20"/>
              </w:rPr>
            </w:pPr>
            <w:r>
              <w:rPr>
                <w:sz w:val="20"/>
              </w:rPr>
              <w:t>6,997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31" w:hanging="0"/>
              <w:jc w:val="right"/>
              <w:rPr>
                <w:sz w:val="20"/>
              </w:rPr>
            </w:pPr>
            <w:r>
              <w:rPr>
                <w:sz w:val="20"/>
              </w:rPr>
              <w:t>8,773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hanging="0"/>
              <w:jc w:val="left"/>
              <w:rPr>
                <w:sz w:val="20"/>
              </w:rPr>
            </w:pPr>
            <w:r>
              <w:rPr>
                <w:sz w:val="20"/>
              </w:rPr>
              <w:t>12,323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16,08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2.1.4.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Земельный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3,711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4,068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6,412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6,713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  <w:t>9,639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10,447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11,754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12,953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  <w:t>21,825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27,129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30,482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1,951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3,508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7,239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11,560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13,642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79" w:hanging="0"/>
              <w:jc w:val="right"/>
              <w:rPr>
                <w:sz w:val="20"/>
              </w:rPr>
            </w:pPr>
            <w:r>
              <w:rPr>
                <w:sz w:val="20"/>
              </w:rPr>
              <w:t>16,325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18,091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20,935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23,252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83" w:hanging="0"/>
              <w:jc w:val="right"/>
              <w:rPr>
                <w:sz w:val="20"/>
              </w:rPr>
            </w:pPr>
            <w:r>
              <w:rPr>
                <w:sz w:val="20"/>
              </w:rPr>
              <w:t>25,782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29,523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34695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2.2.1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 от использования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имущества, находящегося 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муниципальной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собственности,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left"/>
              <w:rPr>
                <w:sz w:val="20"/>
              </w:rPr>
            </w:pPr>
            <w:r>
              <w:rPr>
                <w:sz w:val="20"/>
              </w:rPr>
              <w:t>1,653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3,309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4,310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5,554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right"/>
              <w:rPr>
                <w:sz w:val="20"/>
              </w:rPr>
            </w:pPr>
            <w:r>
              <w:rPr>
                <w:sz w:val="20"/>
              </w:rPr>
              <w:t>6,758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7,590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right"/>
              <w:rPr>
                <w:sz w:val="20"/>
              </w:rPr>
            </w:pPr>
            <w:r>
              <w:rPr>
                <w:sz w:val="20"/>
              </w:rPr>
              <w:t>8,518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  <w:t>9,832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left"/>
              <w:rPr>
                <w:sz w:val="20"/>
              </w:rPr>
            </w:pPr>
            <w:r>
              <w:rPr>
                <w:sz w:val="20"/>
              </w:rPr>
              <w:t>10,918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left"/>
              <w:rPr>
                <w:sz w:val="20"/>
              </w:rPr>
            </w:pPr>
            <w:r>
              <w:rPr>
                <w:sz w:val="20"/>
              </w:rPr>
              <w:t>12,234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14,711</w:t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Безвозмездные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поступления,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  <w:t>55,126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98,386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163,586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211,677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28" w:hanging="0"/>
              <w:jc w:val="right"/>
              <w:rPr>
                <w:sz w:val="20"/>
              </w:rPr>
            </w:pPr>
            <w:r>
              <w:rPr>
                <w:sz w:val="20"/>
              </w:rPr>
              <w:t>368,463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592,753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673,182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789,7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871,993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978,695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1082,79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Дотации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left"/>
              <w:rPr>
                <w:sz w:val="20"/>
              </w:rPr>
            </w:pPr>
            <w:r>
              <w:rPr>
                <w:sz w:val="20"/>
              </w:rPr>
              <w:t>26,966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44,700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83,009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102,242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8" w:hanging="0"/>
              <w:jc w:val="right"/>
              <w:rPr>
                <w:sz w:val="20"/>
              </w:rPr>
            </w:pPr>
            <w:r>
              <w:rPr>
                <w:sz w:val="20"/>
              </w:rPr>
              <w:t>221,493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285,741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right"/>
              <w:rPr>
                <w:sz w:val="20"/>
              </w:rPr>
            </w:pPr>
            <w:r>
              <w:rPr>
                <w:sz w:val="20"/>
              </w:rPr>
              <w:t>350,942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  <w:t>414,839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right"/>
              <w:rPr>
                <w:sz w:val="20"/>
              </w:rPr>
            </w:pPr>
            <w:r>
              <w:rPr>
                <w:sz w:val="20"/>
              </w:rPr>
              <w:t>455,357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sz w:val="20"/>
              </w:rPr>
              <w:t>520,212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578,39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06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4"/>
        <w:gridCol w:w="1182"/>
        <w:gridCol w:w="1050"/>
        <w:gridCol w:w="1127"/>
        <w:gridCol w:w="975"/>
        <w:gridCol w:w="838"/>
        <w:gridCol w:w="936"/>
        <w:gridCol w:w="918"/>
        <w:gridCol w:w="923"/>
        <w:gridCol w:w="1019"/>
        <w:gridCol w:w="975"/>
        <w:gridCol w:w="959"/>
        <w:gridCol w:w="900"/>
        <w:gridCol w:w="1008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Субсидии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3,542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8,057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11,057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12,680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150,791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155,562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190,830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210,520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226,268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233,3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Субвенции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7,790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24868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45,998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67,330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89,904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121,511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141,979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  <w:t>151,439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  <w:t>166,430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  <w:t>188,242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209,309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246,16</w:t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Иные межбюджетные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трансферты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  <w:t>1,883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4,037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5,896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8,371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12,672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14,484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15,130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right"/>
              <w:rPr>
                <w:sz w:val="20"/>
              </w:rPr>
            </w:pPr>
            <w:r>
              <w:rPr>
                <w:sz w:val="20"/>
              </w:rPr>
              <w:t>17,492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right"/>
              <w:rPr>
                <w:sz w:val="20"/>
              </w:rPr>
            </w:pPr>
            <w:r>
              <w:rPr>
                <w:sz w:val="20"/>
              </w:rPr>
              <w:t>17,808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21,537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right"/>
              <w:rPr>
                <w:sz w:val="20"/>
              </w:rPr>
            </w:pPr>
            <w:r>
              <w:rPr>
                <w:sz w:val="20"/>
              </w:rPr>
              <w:t>23,492</w:t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Расходы,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38,399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120,737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29" w:hanging="0"/>
              <w:jc w:val="left"/>
              <w:rPr>
                <w:sz w:val="20"/>
              </w:rPr>
            </w:pPr>
            <w:r>
              <w:rPr>
                <w:sz w:val="20"/>
              </w:rPr>
              <w:t>241,751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378,647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48" w:hanging="0"/>
              <w:jc w:val="left"/>
              <w:rPr>
                <w:sz w:val="20"/>
              </w:rPr>
            </w:pPr>
            <w:r>
              <w:rPr>
                <w:sz w:val="20"/>
              </w:rPr>
              <w:t>493,489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756,365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1031,967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  <w:t>1120,979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  <w:t>1370,085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  <w:t>1522,356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46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1646,504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1850,84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Общегосударственные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вопросы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7,458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25,285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53,219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109,602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128,244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146,642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171,259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194,937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218,732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4" w:hanging="0"/>
              <w:jc w:val="left"/>
              <w:rPr>
                <w:sz w:val="20"/>
              </w:rPr>
            </w:pPr>
            <w:r>
              <w:rPr>
                <w:sz w:val="20"/>
              </w:rPr>
              <w:t>243,462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  <w:t>262,469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302,62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Жилищно-коммунальное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хозяйство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2,382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9,671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23,964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37,705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68,107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111,226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130,257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176,868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202,767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212,0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232,452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247,83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17,594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  <w:t>58,974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113,785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156,441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8" w:hanging="0"/>
              <w:jc w:val="left"/>
              <w:rPr>
                <w:sz w:val="20"/>
              </w:rPr>
            </w:pPr>
            <w:r>
              <w:rPr>
                <w:sz w:val="20"/>
              </w:rPr>
              <w:t>202,363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344,456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519,261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9" w:hanging="0"/>
              <w:jc w:val="right"/>
              <w:rPr>
                <w:sz w:val="20"/>
              </w:rPr>
            </w:pPr>
            <w:r>
              <w:rPr>
                <w:sz w:val="20"/>
              </w:rPr>
              <w:t>543,573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2" w:hanging="0"/>
              <w:jc w:val="right"/>
              <w:rPr>
                <w:sz w:val="20"/>
              </w:rPr>
            </w:pPr>
            <w:r>
              <w:rPr>
                <w:sz w:val="20"/>
              </w:rPr>
              <w:t>591,604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5" w:hanging="0"/>
              <w:jc w:val="right"/>
              <w:rPr>
                <w:sz w:val="20"/>
              </w:rPr>
            </w:pPr>
            <w:r>
              <w:rPr>
                <w:sz w:val="20"/>
              </w:rPr>
              <w:t>634,017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681,263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1" w:hanging="0"/>
              <w:jc w:val="right"/>
              <w:rPr>
                <w:sz w:val="20"/>
              </w:rPr>
            </w:pPr>
            <w:r>
              <w:rPr>
                <w:sz w:val="20"/>
              </w:rPr>
              <w:t>759,79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Культура,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кинематография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15,388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22,766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26,208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35,056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42,897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34,247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61,625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78,566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90,914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100,79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Социальная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политика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0,915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3,610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11,509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12,064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12,871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13,529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14,098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15,069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15,745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16,424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17,568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23.6.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культура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спорт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2,288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5,042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6,640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left"/>
              <w:rPr>
                <w:sz w:val="20"/>
              </w:rPr>
            </w:pPr>
            <w:r>
              <w:rPr>
                <w:sz w:val="20"/>
              </w:rPr>
              <w:t>7,323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  <w:t>9,304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11,318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34,247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44,006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63,278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73,507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94,142</w:t>
            </w:r>
          </w:p>
        </w:tc>
      </w:tr>
      <w:tr>
        <w:trPr>
          <w:trHeight w:val="457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22.7.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массовой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информации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(-),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(+)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-3,491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1,541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-32,543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-8,376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-41,907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-119,646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-101,950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  <w:t>-176,429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3" w:hanging="0"/>
              <w:jc w:val="right"/>
              <w:rPr>
                <w:sz w:val="20"/>
              </w:rPr>
            </w:pPr>
            <w:r>
              <w:rPr>
                <w:sz w:val="20"/>
              </w:rPr>
              <w:t>-176,251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-175,010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-146,227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-190,84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(на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конец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периода),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заработной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плате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начислениям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выплаты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оплате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>
      <w:pPr>
        <w:pStyle w:val="Style15"/>
        <w:spacing w:before="5" w:after="0"/>
        <w:rPr>
          <w:sz w:val="15"/>
        </w:rPr>
      </w:pPr>
      <w:r>
        <w:rPr>
          <w:sz w:val="15"/>
        </w:rPr>
      </w:r>
    </w:p>
    <w:p>
      <w:pPr>
        <w:pStyle w:val="Style15"/>
        <w:spacing w:before="91" w:after="0"/>
        <w:ind w:left="566" w:hanging="0"/>
        <w:rPr>
          <w:sz w:val="20"/>
        </w:rPr>
      </w:pPr>
      <w:r>
        <w:rPr/>
        <w:t>*)</w:t>
      </w:r>
      <w:r>
        <w:rPr>
          <w:spacing w:val="-3"/>
        </w:rPr>
        <w:t xml:space="preserve"> </w:t>
      </w:r>
      <w:r>
        <w:rPr/>
        <w:t>Информация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Приложении</w:t>
      </w:r>
      <w:r>
        <w:rPr>
          <w:spacing w:val="-1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/>
        <w:t>14</w:t>
      </w:r>
      <w:r>
        <w:rPr>
          <w:spacing w:val="-2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паспорту</w:t>
      </w:r>
      <w:r>
        <w:rPr>
          <w:spacing w:val="-6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</w:t>
      </w:r>
      <w:r>
        <w:rPr/>
        <w:t>района</w:t>
      </w:r>
      <w:r>
        <w:rPr>
          <w:spacing w:val="-2"/>
        </w:rPr>
        <w:t xml:space="preserve"> </w:t>
      </w:r>
      <w:r>
        <w:rPr/>
        <w:t>(городского</w:t>
      </w:r>
      <w:r>
        <w:rPr>
          <w:spacing w:val="-2"/>
        </w:rPr>
        <w:t xml:space="preserve"> </w:t>
      </w:r>
      <w:r>
        <w:rPr/>
        <w:t>округа)</w:t>
      </w:r>
      <w:r>
        <w:rPr>
          <w:spacing w:val="-1"/>
        </w:rPr>
        <w:t xml:space="preserve"> </w:t>
      </w:r>
      <w:r>
        <w:rPr/>
        <w:t>обновляется</w:t>
      </w:r>
      <w:r>
        <w:rPr>
          <w:spacing w:val="-3"/>
        </w:rPr>
        <w:t xml:space="preserve"> </w:t>
      </w:r>
      <w:r>
        <w:rPr/>
        <w:t>ежемесячно,</w:t>
      </w:r>
      <w:r>
        <w:rPr>
          <w:spacing w:val="-3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позднее</w:t>
      </w:r>
      <w:r>
        <w:rPr>
          <w:spacing w:val="-2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числа</w:t>
      </w:r>
      <w:r>
        <w:rPr>
          <w:spacing w:val="1"/>
        </w:rPr>
        <w:t xml:space="preserve"> </w:t>
      </w:r>
      <w:r>
        <w:rPr/>
        <w:t>месяца,</w:t>
      </w:r>
      <w:r>
        <w:rPr>
          <w:spacing w:val="-2"/>
        </w:rPr>
        <w:t xml:space="preserve"> </w:t>
      </w:r>
      <w:r>
        <w:rPr/>
        <w:t>следующего</w:t>
      </w:r>
      <w:r>
        <w:rPr>
          <w:spacing w:val="-1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w:rPr/>
        <w:t>отчетным.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15"/>
        </w:rPr>
      </w:pPr>
      <w:r>
        <w:rPr/>
        <mc:AlternateContent>
          <mc:Choice Requires="wps">
            <w:drawing>
              <wp:anchor behindDoc="1" distT="0" distB="38100" distL="38100" distR="38100" simplePos="0" locked="0" layoutInCell="0" allowOverlap="1" relativeHeight="2">
                <wp:simplePos x="0" y="0"/>
                <wp:positionH relativeFrom="page">
                  <wp:posOffset>4457065</wp:posOffset>
                </wp:positionH>
                <wp:positionV relativeFrom="paragraph">
                  <wp:posOffset>144145</wp:posOffset>
                </wp:positionV>
                <wp:extent cx="1786890" cy="635"/>
                <wp:effectExtent l="2540" t="2540" r="3175" b="3175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04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95pt,11.35pt" to="491.6pt,11.35pt" ID="Изображение1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continuous"/>
      <w:pgSz w:orient="landscape" w:w="16838" w:h="11906"/>
      <w:pgMar w:left="0" w:right="420" w:gutter="0" w:header="0" w:top="4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 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3367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rsid w:val="00933679"/>
    <w:pPr/>
    <w:rPr>
      <w:sz w:val="20"/>
      <w:szCs w:val="20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933679"/>
    <w:pPr/>
    <w:rPr/>
  </w:style>
  <w:style w:type="paragraph" w:styleId="TableParagraph" w:customStyle="1">
    <w:name w:val="Table Paragraph"/>
    <w:basedOn w:val="Normal"/>
    <w:uiPriority w:val="1"/>
    <w:qFormat/>
    <w:rsid w:val="00933679"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367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Application>LibreOffice/7.5.2.1$Linux_X86_64 LibreOffice_project/50$Build-1</Application>
  <AppVersion>15.0000</AppVersion>
  <Pages>6</Pages>
  <Words>1813</Words>
  <Characters>9566</Characters>
  <CharactersWithSpaces>10106</CharactersWithSpaces>
  <Paragraphs>1279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2022-02-28T08:23:00Z</dcterms:created>
  <dc:creator>GG</dc:creator>
  <dc:description/>
  <dc:language>ru-RU</dc:language>
  <cp:lastModifiedBy/>
  <dcterms:modified xsi:type="dcterms:W3CDTF">2026-03-12T08:11:25Z</dcterms:modified>
  <cp:revision>272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