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6"/>
          <w:szCs w:val="26"/>
        </w:rPr>
        <w:t>Заключение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контрольно-счетной комиссии Красносельского муниципального района на проект решения Собрания депутатов Красносельского муниципального района «О бюджете Красносельского муниципального района на 2024 год и на плановый период 2025 и 2026 годов» для рассмотрения во втором чтении.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п. Красное-на-Волге                                                                     «18» декабря 2023 года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Экспертное заключение контрольно-счетной комиссии Красносельского муниципального района (далее – заключение) на проект решения Собрания депутатов Красносельского муниципального района «О бюджете Красносельского муниципального района на 2024 год и на плановый период 2025 и 2026 годов» подготовлено с учетом требований Бюджетного кодекса Российской Федерации, 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28.10.2021 № 724), Положения о бюджетном процессе в Красносельском муниципальном районе Костромской области (утв. Решением Собрания депутатов Красносельского муниципального района от 27.10.2015 №750), а также иных законодательных актов Российской Федерации, Костромской области, Красносельского муниципального района.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Собрание депутатов Красносельского муниципального района при рассмотрении проекта Решения о бюджете муниципального района во втором чтении утверждает: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1)прогнозируемые доходы бюджета муниципального района на очередной финансовый год  и плановый период в разрезе классификации доходов бюджетов Российской Федерации;</w:t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2)распределение бюджетных ассигнований (за исключением утвержденных в первом чтении условно утверждаемых (утвержденных) расходов) на очередной финансовый год и плановый период по разделам, подразделам, целевым статьям, группам и подгруппам видов расходов классификации расходов бюджета;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3)ведомственную структуру расходов бюджета муниципального района (за исключением утвержденных в первом чтении условно утверждаемых (утвержденных) расходов) в соответствии с распределением бюджетных ассигнований по разделам, подразделам, целевым статьям и видам расходов классификации расходов бюджета на очередной финансовый год и плановый период;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4)общий объем бюджетных ассигнований на очередной финансовый год и плановый период, направляемых на исполнение публичных нормативных обязательств;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5)распределение бюджетных ассигнований на реализацию муниципальных программ Красносельского муниципального района по программам и главным распорядителям средств бюджета муниципального района на очередной финансовый год и плановый период;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6)объем бюджетных ассигнований дорожного фонда Красносельского муниципального района на очередной финансовый год и плановый период;</w:t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7</w:t>
      </w:r>
      <w:r>
        <w:rPr>
          <w:rFonts w:cs="Times New Roman" w:ascii="Times New Roman" w:hAnsi="Times New Roman"/>
          <w:sz w:val="26"/>
          <w:szCs w:val="26"/>
        </w:rPr>
        <w:t>) объем межбюджетных трансфертов, предоставляемых бюджетам поселений в очередном финансовом году и плановом периоде, в том числе: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а) объем дотаций на выравнивание бюджетной обеспеченности поселений;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б) объем иных межбюджетных трансфертов на осуществление части полномочий по решению вопросов местного значения в соответствии с заключенными соглашениями;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в) объем субвенций.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8</w:t>
      </w:r>
      <w:r>
        <w:rPr>
          <w:rFonts w:cs="Times New Roman" w:ascii="Times New Roman" w:hAnsi="Times New Roman"/>
          <w:sz w:val="26"/>
          <w:szCs w:val="26"/>
        </w:rPr>
        <w:t>) верхний предел муниципального внутреннего долга Красносельского муниципального района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гарантиям;</w:t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>) программу муниципальных внутренних заимствований Красносельского муниципального района на очередной финансовый год и плановый период;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10</w:t>
      </w:r>
      <w:r>
        <w:rPr>
          <w:rFonts w:cs="Times New Roman" w:ascii="Times New Roman" w:hAnsi="Times New Roman"/>
          <w:sz w:val="26"/>
          <w:szCs w:val="26"/>
        </w:rPr>
        <w:t>) программу муниципальных гарантий Красносельского муниципального района на очередной финансовый год и плановый период.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Принимаются также текстовые статьи Решения Собрания депутатов.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 результатам экспертизы установлено следующее: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показатели, утвержденные в первом чтении: общий объем доходов, общий объем расходов, - вносятся изменения. Доходы бюджета муниципального района за счет уменьшения безвозмездных поступлений снижаются в 2024 году на 9949,8 тыс. рублей, в 2025 году - доходы возрастают  на 2230,7 тыс. рублей, в 2026 году - доходы возрастают  на 14062,5 тыс. рублей, в том числе </w:t>
      </w:r>
      <w:r>
        <w:rPr>
          <w:rFonts w:cs="Times New Roman" w:ascii="Times New Roman" w:hAnsi="Times New Roman"/>
          <w:b/>
          <w:sz w:val="26"/>
          <w:szCs w:val="26"/>
        </w:rPr>
        <w:t>субсидии</w:t>
      </w:r>
      <w:r>
        <w:rPr>
          <w:rFonts w:cs="Times New Roman" w:ascii="Times New Roman" w:hAnsi="Times New Roman"/>
          <w:sz w:val="26"/>
          <w:szCs w:val="26"/>
        </w:rPr>
        <w:t xml:space="preserve"> уменьшаются в 2024 году на 13327,7 тыс. рублей, в 2025 году – увеличиваются на 785,8 тыс. рублей, в 2026 году – увеличиваются на 12561,7 тыс. рублей; </w:t>
      </w:r>
      <w:r>
        <w:rPr>
          <w:rFonts w:cs="Times New Roman" w:ascii="Times New Roman" w:hAnsi="Times New Roman"/>
          <w:b/>
          <w:sz w:val="26"/>
          <w:szCs w:val="26"/>
        </w:rPr>
        <w:t>субвенции</w:t>
      </w:r>
      <w:r>
        <w:rPr>
          <w:rFonts w:cs="Times New Roman" w:ascii="Times New Roman" w:hAnsi="Times New Roman"/>
          <w:sz w:val="26"/>
          <w:szCs w:val="26"/>
        </w:rPr>
        <w:t xml:space="preserve"> увеличиваются в 2024 году на 3377,9 тыс. рублей, в 2025 году – на 1444,9 тыс. рублей, в 2026 году – на 1500,9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 счет уменьшения безвозмездных поступлений изменяются расходы бюджета муниципального района по следующим разделам: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-культура, кинематография: в 2024 году увеличиваются на 1786,1 тыс. рублей;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-жилищно-коммунальное хозяйство: в 2024 году уменьшаются на 15984,2 тыс. рублей;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-образование: в 2024 году увеличение на 3999,9 тыс. рублей, в 2025 году увеличение на 525,3 тыс. рублей, в 2026 году – на 11354,8 тыс. рублей;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-социальная политика: увеличение расходов в 2024 году на 248,4 тыс. рублей, в 2025 году увеличение на 1705,4 тыс. рублей; в 2026 году увеличение на 2651,5 тыс. рублей;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-общегосударственные вопросы: в 2026 году увеличение на 56,2 тыс. рублей;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целом расходы бюджета уменьшаются в 2024 году на 9949,8 тыс. рублей, в 2025 году – расходы увеличиваются на 2230,7 тыс. рублей, в 2026 году – расходы увеличиваются на 14062,5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Доходы бюджета муниципального района сформированы по двум основным группам: налоговые и неналоговые доходы, перечень которых установлен ст. 15, 41-42, 46, 61.1, 62 БК РФ и безвозмездные поступления.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Общий объем налоговых и неналоговых доходов на 2024 год предусмотрен в сумме 203736,0 тыс. рублей или 100,3 % к ожидаемому исполнению за 2023 год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(прогнозируется снижение поступления налога, взимаемого в связи с применением упрощенной системы налогообложения из-за перехода предприятий ювелирной отрасли на общую систему налогообложения)</w:t>
      </w:r>
      <w:r>
        <w:rPr>
          <w:rFonts w:cs="Times New Roman" w:ascii="Times New Roman" w:hAnsi="Times New Roman"/>
          <w:sz w:val="26"/>
          <w:szCs w:val="26"/>
        </w:rPr>
        <w:t>, на 2025 год в сумме 205831,0 тыс. рублей или 101,3% к ожидаемому исполнению, на 2026 год – 208404,0 тыс. рублей или 102,6% к ожидаемому исполнению. Удельный вес собственных доходов без учета безвозмездных поступлений в общем объеме доходов бюджета муниципального района в 2024 году прогнозируется в размере 32,4 % (ожидаемое за 2023 год – 19,3 %), в 2025 году удельный вес 37,3%, в 2026 году – 37,3%.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 В составе налоговых и неналоговых доходов бюджета налоговые доходы в 2024 году прогнозируются в сумме 178319,0 тыс. рублей или 87,5 % от объема собственных доходов без учета безвозмездных поступлений (в 2023 году ожидается 85,2%).,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в 2025 году – 180073,0 тыс. рублей или 87,5%, в 2026 году – 182419,0 тыс. рублей или 87,5 %</w:t>
      </w:r>
      <w:r>
        <w:rPr>
          <w:rFonts w:cs="Times New Roman" w:ascii="Times New Roman" w:hAnsi="Times New Roman"/>
          <w:sz w:val="26"/>
          <w:szCs w:val="26"/>
        </w:rPr>
        <w:t>; и неналоговые доходы прогнозируются в сумме в 2024 году – 25417,0 тыс. рублей, в 2025 году – 25758,0 тыс. рублей, в 2026 году – 25985,0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Основными источниками собственных доходов без учета безвозмездных поступлений бюджета муниципального района в 2024 году будут поступления следующих налогов: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-налог на доходы физических лиц</w:t>
      </w:r>
      <w:r>
        <w:rPr>
          <w:rFonts w:cs="Times New Roman" w:ascii="Times New Roman" w:hAnsi="Times New Roman"/>
          <w:sz w:val="26"/>
          <w:szCs w:val="26"/>
        </w:rPr>
        <w:t xml:space="preserve"> – 109065 тыс. рублей, который имеет наибольший удельный вес в налоговых и неналоговых доходах и составляет 53,5 %. По отношению к ожидаемому исполнению за 2023 год прогнозируется увеличение поступления дохода на 6230 тыс. рублей или на 6,1%;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-налоги на совокупный доход</w:t>
      </w:r>
      <w:r>
        <w:rPr>
          <w:rFonts w:cs="Times New Roman" w:ascii="Times New Roman" w:hAnsi="Times New Roman"/>
          <w:sz w:val="26"/>
          <w:szCs w:val="26"/>
        </w:rPr>
        <w:t xml:space="preserve"> – 60182 тыс. рублей, удельный вес– 29,5 % , к оценке ожидаемых поступлений за 2023 год снижение на 1683 тыс. рублей или на 2,7%.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По отношению к ожидаемому исполнению за 2023 год в 2024 году прогнозируется увеличение поступления налоговых доходов на 5174 тыс. рублей и снижение поступления неналоговых доходов на 4596 тыс. рублей.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проекте бюджета на 2024 год предусматриваются доходы от реализации имущества, находящегося в государственной и муниципальной собственности  в сумме 5622,0 тыс. рублей (данный прогноз составляют доходы от продажи земельных участков), доходы от реализации имущества, находящегося в собственности муниципального района, проектом бюджета не предусматриваются, в то же время в Плане приватизации объектов муниципальной собственности муниципального района на 2024 год сумма приватизации предусматривается в размере  11750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проекте бюджета муниципального района на 2024 год предусмотрено получение безвозмездных поступлений в сумме 425708,7 тыс. рублей, что составляет 50,2 % от  ожидаемых поступлений за 2023 год  (ожидается 847716 тыс. 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рублей), на 2025 год – 346652,9 тыс. рублей, на 2026 год – 350264,8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Дотации на выравнивание бюджетной обеспеченности в 2024 году предусмотрены в сумме 132055 тыс. рублей или 145,4 % к бюджетным назначениям 2023 года, в 2025 году – 96639 тыс. рублей, в 2026 году – 99552 тыс. рублей.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В составе доходов предусмотрены межбюджетные трансферты, связанные с передачей полномочий поселений по созданию условий для организации досуга и обеспечения жителей поселений услугами организаций культуры муниципальному району, в соответствии с заключенными соглашениями, в 2024 году в сумме 10449,2 тыс. рублей. В нарушение п.3.1 статьи 86, статьи 142.5 Бюджетного кодекса РФ, п. 4 статьи 15 Закона №131-ФЗ, ежегодные объемы иных межбюджетных трансфертов определялись не в полном объеме расходов сельских учреждений культуры на очередной финансовый год и плановый период, сметы расходов на содержание сельских учреждений культуры не применялись для расчета объема иных межбюджетных трансфертов.</w:t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Соблюдены ограничения при установлении верхнего предела муниципального внутреннего долга по состоянию на 1 января 2025 года, который составляет 161893 тыс. рублей (не превышает общий годовой объем доходов муниципального бюджета без учета утвержденного объема безвозмездных поступлений, который составляет 203736 тыс. рублей), на 1 января 2026 года – 182476 тыс. рублей (объем налоговых и неналоговых доходов – 205831 тыс. рублей), на 1 января 2027 года – 203316 тыс. рублей (объем налоговых и неналоговых доходов – 208404 тыс. рублей) и соответству</w:t>
      </w:r>
      <w:r>
        <w:rPr>
          <w:rFonts w:cs="Times New Roman" w:ascii="Times New Roman" w:hAnsi="Times New Roman"/>
          <w:sz w:val="26"/>
          <w:szCs w:val="26"/>
        </w:rPr>
        <w:t>ю</w:t>
      </w:r>
      <w:r>
        <w:rPr>
          <w:rFonts w:cs="Times New Roman" w:ascii="Times New Roman" w:hAnsi="Times New Roman"/>
          <w:sz w:val="26"/>
          <w:szCs w:val="26"/>
        </w:rPr>
        <w:t>т требованиям ч.1 ст.107 Бюджетного кодекса Российской Федерации).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Проектом решения о бюджете объем расходов на обслуживание муниципального долга определен в 2024 году в сумме 211,8 тыс. рублей или 0,05%, в 2025 году – 179,2 тыс. рублей или 0,05 %, в 2026 году – 113,1 тыс. рублей или 0,03 % от объема расходов бюджета, за исключением объема расходов, которые осуществляются за счет субвенций, предоставляемых из областного бюджета, что не превышает предельного значения в 15%, установленного Бюджетным кодексом РФ (ст. 111).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С проектом решения о бюджете на 2024 год и плановый период 2025 и 2026 годов предоставлена программа муниципальных внутренних заимствований. Получение кредитов от кредитных организаций планируется в 2024 году в сумме 28133 тыс. рублей, в 2025 году получение коммерческих кредитов – 66143 тыс. рублей, в 2026 году – получение коммерческих кредитов – 58640 тыс. рублей,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гашение коммерческих кредитов не предусмотрено.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Получение бюджетных кредитов от бюджетов других уровней не планируется, гашение бюджетных кредитов предусмотрено в 2024 году в сумме 7760 тыс. рублей, в гашение в 2025 году – 45560 тыс. рублей, гашение в 2026 году – 37800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Предоставление муниципальных гарантий не предусмотрено.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Объем расходов бюджета муниципального района сформирован на 2024 год в сумме 649817,7 тыс. рублей, на 2025 год в сумме 573066,9 тыс. рублей (в том числе условно утверждаемые – 8077,0 тыс. рублей), на 2026 год в сумме 579508,8 тыс. рублей (в том числе условно утверждаемые –16440,0 тыс. рублей):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общегосударственные вопросы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94785,5 тыс. рублей (68,8 % к ожидаемому исполнению текущего года), на 2025 год – 72901,7 тыс. рублей, на 2026 год – 74522,4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национальная экономика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57611,7 тыс. рублей (31,0 % к ожидаемому исполнению текущего года), на 2025 год – 61724,0 тыс. рублей, на 2026 год – 62312,0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 xml:space="preserve">жилищно-коммунальное хозяйство </w:t>
      </w:r>
      <w:r>
        <w:rPr>
          <w:rFonts w:cs="Times New Roman" w:ascii="Times New Roman" w:hAnsi="Times New Roman"/>
          <w:sz w:val="26"/>
          <w:szCs w:val="26"/>
        </w:rPr>
        <w:t xml:space="preserve">– на 2024 год – 68774,2 тыс. рублей (35,7 % к ожидаемому исполнению текущего года), (из них: финансирование муниципальной программы «Чистая вода на 2021 – 2025 годы»  в сумме 31710,4 тыс. рублей, субсидии теплоснабжающим организациям – 1380,0 тыс. рублей, субсидии организациям, оказывающим услуги холодного водоснабжения и водоотведения – 5825,0 тыс. рублей);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2025 год – 19000,0 тыс. рублей, на 2026 год – 13430,0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образование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350774,1 тыс. рублей (86,3 % к ожидаемому исполнению текущего года), на 2025 год – 337521,8 тыс. рублей, на 2026 год – 347086,4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культура и кинематография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37309,6 тыс. рублей (63,0 % к ожидаемому исполнению текущего года); на 2025 год – 35597,9 тыс. рублей, на 2026 год – 28292,9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социальная политика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8298,2 тыс. рублей (98,4 % к ожидаемому исполнению текущего года), (в том числе социальные выплаты населению по улучшению жилищных условий в соответствии с муниципальными программами – 4500,0 тыс. рублей); на 2025 год – 8072,0 тыс. рублей, на 2026 год – 7232,8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физическая культура и спорт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6225,0 тыс. рублей (57,6 % к ожидаемому исполнению текущего года), на 2025 год – 4390,0 тыс. рублей, на 2026 год – 4530,0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b/>
          <w:sz w:val="26"/>
          <w:szCs w:val="26"/>
        </w:rPr>
        <w:t>на обслуживание государственного и муниципального долга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–211,8 тыс. рублей  (96,3 %  к ожидаемому исполнению текущего года), на 2025 год – 179,2 тыс. рублей, на 2026 год – 113,1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-межбюджетные трансферты</w:t>
      </w:r>
      <w:r>
        <w:rPr>
          <w:rFonts w:cs="Times New Roman" w:ascii="Times New Roman" w:hAnsi="Times New Roman"/>
          <w:sz w:val="26"/>
          <w:szCs w:val="26"/>
        </w:rPr>
        <w:t xml:space="preserve"> – на 2024 год – 22504,0 тыс. рублей (67,5 % к ожидаемому исполнению текущего года), на 2025 год – 23983,0 тыс. рублей, на 2026 год – 23870 тыс. рублей;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Общий объем бюджетных ассигнований, направляемых на исполнение публичных нормативных обязательств на 2024 год, предусматривается в сумме 2074,5 тыс. рублей, на 2025 год – 1724,5 тыс. рублей, на 2026 год – 1773,5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Проектом бюджета муниципального района на 2024 год и плановый период 2025 и 2026 годов предусматривается финансирование муниципальных программ: в 2024 году 22 программы на общую сумму 527215,2 тыс. рублей, в 2025 году –14 программ на общую сумму 67600,1 тыс. рублей, в 2026 году – 8 программ на общую сумму 44244,6 тыс. рублей.  Охват расходов бюджета муниципального района в 2024 году показателями муниципальных программ составил 81,1%, в 2025 году – 11,8%, в 2026 году – 7,6%.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Проектом Решения предлагается утвердить объем бюджетных ассигнований дорожного фонда Красносельского муниципального района на 2024 год в размере 27472,0 тыс. рублей, на 2025 год – 32826,0 тыс. рублей, на 2026 год – 33014,0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2024 году предусматривается направить бюджетам поселений межбюджетных трансфертов на общую сумму 56788,0 тыс. рублей, в 2025 году –24021,6 тыс. рублей, в 2026 году – 23908,6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Структура межбюджетных трансфертов в 2024 году: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-выравнивание бюджетной обеспеченности поселений – 22504,0 тыс. рублей,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-дорожное хозяйство – 2035,0 тыс. рублей,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-коммунальное хозяйство – 32210,4 тыс. рублей.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Формирование расходов бюджета Красносельского муниципального района осуществлено в соответствии с расходными обязательствами, исполнение которых, согласно законодательству Российской Федерации, должно происходить за счет средств бюджета муниципального района, а также бюджетов бюджетной системы другого уровня, связанные с передачей отдельных государственных полномочий с федерального уровня и субъекта РФ. Средства бюджета на исполнение полномочий органов местного самоуправления муниципального района запланированы не в полном объеме. Величина параметров бюджета Красносельского муниципального района на 2024 год и на плановый период 2025 и 2026 годов характеризуется ограничением расходов бюджета рамками предельного объема муниципального долга, объема поступления межбюджетных трансфертов по переданным полномочиям, рассчитанных с нарушением требований бюджетного законодательства и Закона №131-ФЗ. 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основании вышеизложенного, контрольно-счетная комиссия полагает, что проект бюджета на 2024 год и плановый период 2025 и 2026 годов может быть рассмотрен Собранием депутатов Красносельского муниципального района во втором чтении.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Вр.и.п. председателя</w:t>
      </w:r>
    </w:p>
    <w:p>
      <w:pPr>
        <w:pStyle w:val="Normal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контрольно-счётной комиссии                                                      Т.Н. Всемирнова</w:t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8618388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001b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e690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7e6909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82da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001b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7e690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link w:val="Style16"/>
    <w:uiPriority w:val="99"/>
    <w:unhideWhenUsed/>
    <w:rsid w:val="007e690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420b53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2F5B-967B-4ED5-82BA-DCBD066E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LibreOffice/7.5.2.1$Linux_X86_64 LibreOffice_project/50$Build-1</Application>
  <AppVersion>15.0000</AppVersion>
  <Pages>7</Pages>
  <Words>2127</Words>
  <Characters>13534</Characters>
  <CharactersWithSpaces>15876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2022-12-22T06:38:00Z</dcterms:created>
  <dc:creator>User</dc:creator>
  <dc:description/>
  <dc:language>ru-RU</dc:language>
  <cp:lastModifiedBy/>
  <cp:lastPrinted>2022-12-22T06:16:00Z</cp:lastPrinted>
  <dcterms:modified xsi:type="dcterms:W3CDTF">2023-12-19T10:09:29Z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